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  <w:t xml:space="preserve">Ruda Śląska, dnia 1.10.2020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  <w:t xml:space="preserve">ANEKS DO UMOWY SPÓŁKI CYWILNEJ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zawartej w dniu 12.04.2018 r. W Rudzie Śląskiej pomiędzy: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Tadeuszem Jargiło, zamieszkałym w Rudzie Śląskiej przy ulicy Rybnickiej 52, legitymującym się dowodem osobistym (seria i numer dowodu osobistego) CGK 058287;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Robertem Podlacha, zamieszkałym w Rudzie Śląskiej przy ulicy Młyńskiej 43, legitymującym się dowodem osobistym (seria i numer dowodu osobistego) AYM 005018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I. Strony powyższej Umowy postanawiają, iż zapis w paragrafie 17 pkt 7 ulega zmianie i jego aktualna treść wygląda następująco: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“Wspólnik Robert Podlacha, który prowadzi jednocześnie działalność gospodarczą pod nazwą ProfiTurbo Robert Podlacha, NIP 6412430753 może być dostawcą towarów i usług dla spółki gottuned s.c. </w:t>
      </w:r>
      <w:r w:rsidDel="00000000" w:rsidR="00000000" w:rsidRPr="00000000">
        <w:rPr>
          <w:u w:val="single"/>
          <w:rtl w:val="0"/>
        </w:rPr>
        <w:t xml:space="preserve">nie dłużej niż do 30.04.2021</w:t>
      </w:r>
      <w:r w:rsidDel="00000000" w:rsidR="00000000" w:rsidRPr="00000000">
        <w:rPr>
          <w:rtl w:val="0"/>
        </w:rPr>
        <w:t xml:space="preserve">, objętej nin. Umową, co nie będzie naruszeniem zakazu konkurencji wg pkt 5 i 6 niniejszego paragrafu.”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Poprzedni zapis jn: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br w:type="textWrapping"/>
        <w:t xml:space="preserve">“Wspólnik Robert Podlacha, który prowadzi jednocześnie działalność gospodarczą pod nazwą ProfiTurbo Robert Podlacha, NIP 6412430753 może być dostawcą towarów i usług dla spółki gottuned s.c., objętej nin. Umową, co nie będzie naruszeniem zakazu konkurencji wg pkt 5 i 6 niniejszego paragrafu.” </w:t>
        <w:br w:type="textWrapping"/>
        <w:br w:type="textWrapping"/>
        <w:t xml:space="preserve">traci ważność z dniem podpisania nin. Aneksu.</w:t>
        <w:br w:type="textWrapping"/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II. Pozostałe postanowienia umowy pozostają bez zmian.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III. Aneks został sporządzony w 2 egzemplarzach, po jednym dla każdego ze wspólników.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